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0" w:rsidRPr="00B41130" w:rsidRDefault="00B41130" w:rsidP="00B41130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b/>
          <w:bCs/>
          <w:color w:val="666666"/>
          <w:kern w:val="0"/>
          <w:sz w:val="44"/>
          <w:szCs w:val="44"/>
        </w:rPr>
        <w:t>攀枝花市东区城市直饮水卫生状况信息公示表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center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（</w:t>
      </w:r>
      <w:r w:rsidRPr="00B41130">
        <w:rPr>
          <w:rFonts w:ascii="Microsoft Yahei" w:eastAsia="宋体" w:hAnsi="Microsoft Yahei" w:cs="宋体"/>
          <w:color w:val="666666"/>
          <w:kern w:val="0"/>
          <w:sz w:val="32"/>
          <w:szCs w:val="32"/>
        </w:rPr>
        <w:t>2018</w:t>
      </w:r>
      <w:r w:rsidRPr="00B41130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年第</w:t>
      </w:r>
      <w:r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二</w:t>
      </w:r>
      <w:r w:rsidRPr="00B41130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季度）</w:t>
      </w:r>
    </w:p>
    <w:tbl>
      <w:tblPr>
        <w:tblW w:w="11901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1701"/>
        <w:gridCol w:w="1841"/>
        <w:gridCol w:w="1845"/>
        <w:gridCol w:w="3092"/>
        <w:gridCol w:w="1438"/>
      </w:tblGrid>
      <w:tr w:rsidR="00B41130" w:rsidRPr="00B41130" w:rsidTr="00B41130">
        <w:trPr>
          <w:trHeight w:val="49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监测点（个）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监测数（件）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合格数（件）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合格率（</w:t>
            </w:r>
            <w:r w:rsidRPr="00B41130">
              <w:rPr>
                <w:rFonts w:ascii="Microsoft Yahei" w:eastAsia="宋体" w:hAnsi="Microsoft Yahei" w:cs="宋体"/>
                <w:color w:val="666666"/>
                <w:kern w:val="0"/>
                <w:szCs w:val="21"/>
              </w:rPr>
              <w:t>%</w:t>
            </w: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）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不合格指标及标准限值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备注</w:t>
            </w:r>
          </w:p>
        </w:tc>
      </w:tr>
      <w:tr w:rsidR="00B41130" w:rsidRPr="00B41130" w:rsidTr="00B41130">
        <w:trPr>
          <w:trHeight w:val="83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</w:tbl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注：（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）水质指标的检验和结果按照《生活饮用水卫生标准》（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GB5749-2006</w:t>
      </w: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）、《生活饮用水标准检验方法》（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GB/T5750-2006</w:t>
      </w: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）执行。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（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监测水样类型指市政供水、自检集中式供水的用户水龙头。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（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3</w:t>
      </w:r>
      <w:r w:rsidRPr="00B41130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检查指标为：菌落总数、总大肠杆菌群、色度、浑浊度、臭和味、肉眼可见物、耗氧量、氨氮等。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</w:p>
    <w:p w:rsidR="00B41130" w:rsidRPr="00B41130" w:rsidRDefault="00B41130" w:rsidP="00B41130">
      <w:pPr>
        <w:widowControl/>
        <w:shd w:val="clear" w:color="auto" w:fill="FFFFFF"/>
        <w:spacing w:line="525" w:lineRule="atLeast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p w:rsidR="00B41130" w:rsidRPr="00B41130" w:rsidRDefault="00B41130" w:rsidP="00B41130">
      <w:pPr>
        <w:widowControl/>
        <w:shd w:val="clear" w:color="auto" w:fill="FFFFFF"/>
        <w:spacing w:line="525" w:lineRule="atLeast"/>
        <w:ind w:firstLineChars="700" w:firstLine="2249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攀枝花市东区</w:t>
      </w:r>
      <w:bookmarkStart w:id="0" w:name="_GoBack"/>
      <w:bookmarkEnd w:id="0"/>
      <w:r w:rsidRPr="00B4113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城市用户水龙头水质监测结果（</w:t>
      </w:r>
      <w:r w:rsidRPr="00B41130"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  <w:t>2018</w:t>
      </w:r>
      <w:r w:rsidRPr="00B4113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</w:t>
      </w:r>
      <w:r w:rsidRPr="00B4113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季度）</w:t>
      </w:r>
    </w:p>
    <w:tbl>
      <w:tblPr>
        <w:tblW w:w="1401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1197"/>
        <w:gridCol w:w="965"/>
        <w:gridCol w:w="750"/>
        <w:gridCol w:w="914"/>
        <w:gridCol w:w="1558"/>
        <w:gridCol w:w="1057"/>
        <w:gridCol w:w="846"/>
        <w:gridCol w:w="1380"/>
        <w:gridCol w:w="1470"/>
        <w:gridCol w:w="1530"/>
        <w:gridCol w:w="1980"/>
      </w:tblGrid>
      <w:tr w:rsidR="00B41130" w:rsidRPr="00B41130" w:rsidTr="008B099E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供水单位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采样地点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107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监测项目及结果</w:t>
            </w:r>
          </w:p>
        </w:tc>
      </w:tr>
      <w:tr w:rsidR="00B41130" w:rsidRPr="00B41130" w:rsidTr="008B099E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1130" w:rsidRPr="00B41130" w:rsidRDefault="00B41130" w:rsidP="00B41130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130" w:rsidRPr="00B41130" w:rsidRDefault="00B41130" w:rsidP="00B41130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130" w:rsidRPr="00B41130" w:rsidRDefault="00B41130" w:rsidP="00B41130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1130" w:rsidRPr="00B41130" w:rsidRDefault="00B41130" w:rsidP="00B41130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色度（度）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浑浊度（度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NTU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耗氧量以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O2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计（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mg/L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氨氮以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N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计（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mg/L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菌落总数（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CFU/mL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130" w:rsidRPr="00B41130" w:rsidRDefault="00B41130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总大肠菌群（</w:t>
            </w:r>
            <w:r w:rsidRPr="00B41130">
              <w:rPr>
                <w:rFonts w:ascii="Microsoft Yahei" w:eastAsia="仿宋_GB2312" w:hAnsi="Microsoft Yahei" w:cs="宋体"/>
                <w:b/>
                <w:bCs/>
                <w:color w:val="000000"/>
                <w:kern w:val="0"/>
                <w:szCs w:val="21"/>
              </w:rPr>
              <w:t>MPN/100mL</w:t>
            </w:r>
            <w:r w:rsidRPr="00B41130">
              <w:rPr>
                <w:rFonts w:ascii="仿宋_GB2312" w:eastAsia="仿宋_GB2312" w:hAnsi="Microsoft Yahei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电影院旁家婆面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二小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政务中心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九附六盐边羊肉店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报社旁让火锅飞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773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老干部楼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攀冶公司办</w:t>
            </w: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lastRenderedPageBreak/>
              <w:t>公楼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lastRenderedPageBreak/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大渡口社区卫生服务中心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F60" w:rsidRPr="00365F60" w:rsidRDefault="00365F60" w:rsidP="00365F6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365F60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炳草岗水厂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金海世纪城美度美发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大渡口水厂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五十四公交调度室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B41130" w:rsidRDefault="008B099E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攀钢生活水厂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新钢钒股份有限公司办公楼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B41130" w:rsidRDefault="008B099E" w:rsidP="00B41130">
            <w:pPr>
              <w:widowControl/>
              <w:spacing w:line="525" w:lineRule="atLeast"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23"/>
                <w:szCs w:val="23"/>
              </w:rPr>
            </w:pPr>
            <w:r w:rsidRPr="00B41130">
              <w:rPr>
                <w:rFonts w:ascii="仿宋_GB2312" w:eastAsia="仿宋_GB2312" w:hAnsi="Microsoft Yahei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密地水厂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矿业公司动力厂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B41130" w:rsidRDefault="008B099E" w:rsidP="00B41130">
            <w:pPr>
              <w:widowControl/>
              <w:spacing w:line="525" w:lineRule="atLeast"/>
              <w:jc w:val="center"/>
              <w:textAlignment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B41130">
              <w:rPr>
                <w:rFonts w:ascii="仿宋_GB2312" w:eastAsia="仿宋_GB2312" w:hAnsi="Microsoft Yahei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>
            <w:pPr>
              <w:spacing w:line="375" w:lineRule="atLeast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高梁坪水厂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>
            <w:pPr>
              <w:spacing w:line="375" w:lineRule="atLeast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倮果银江镇中心校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>
            <w:pPr>
              <w:spacing w:line="375" w:lineRule="atLeast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20180409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＜0.02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ind w:firstLineChars="250" w:firstLine="450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ind w:firstLineChars="400" w:firstLine="720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</w:tr>
      <w:tr w:rsidR="008B099E" w:rsidRPr="00B41130" w:rsidTr="008B099E">
        <w:trPr>
          <w:trHeight w:val="300"/>
        </w:trPr>
        <w:tc>
          <w:tcPr>
            <w:tcW w:w="3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《生活饮用水标准》GB5749-2006限值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≤</w:t>
            </w: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≤</w:t>
            </w: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≤</w:t>
            </w: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≤</w:t>
            </w: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≤</w:t>
            </w: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9E" w:rsidRPr="008B099E" w:rsidRDefault="008B099E" w:rsidP="008B099E">
            <w:pPr>
              <w:spacing w:line="375" w:lineRule="atLeast"/>
              <w:jc w:val="center"/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</w:pPr>
            <w:r w:rsidRPr="008B099E">
              <w:rPr>
                <w:rFonts w:ascii="仿宋_GB2312" w:eastAsia="仿宋_GB2312" w:hAnsi="Microsoft Yahei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</w:tr>
    </w:tbl>
    <w:p w:rsidR="00B41130" w:rsidRPr="00B41130" w:rsidRDefault="00B41130" w:rsidP="00B41130">
      <w:pPr>
        <w:widowControl/>
        <w:shd w:val="clear" w:color="auto" w:fill="FFFFFF"/>
        <w:spacing w:line="525" w:lineRule="atLeast"/>
        <w:ind w:firstLine="1080"/>
        <w:jc w:val="left"/>
        <w:rPr>
          <w:rFonts w:ascii="Microsoft Yahei" w:eastAsia="宋体" w:hAnsi="Microsoft Yahei" w:cs="宋体"/>
          <w:color w:val="666666"/>
          <w:kern w:val="0"/>
          <w:sz w:val="23"/>
          <w:szCs w:val="23"/>
        </w:rPr>
      </w:pPr>
      <w:r w:rsidRPr="00B41130">
        <w:rPr>
          <w:rFonts w:ascii="仿宋_GB2312" w:eastAsia="仿宋_GB2312" w:hAnsi="Microsoft Yahei" w:cs="宋体" w:hint="eastAsia"/>
          <w:color w:val="000000"/>
          <w:kern w:val="0"/>
          <w:sz w:val="18"/>
          <w:szCs w:val="18"/>
        </w:rPr>
        <w:lastRenderedPageBreak/>
        <w:t>检测单位：攀枝花市疾病预防控制中心</w:t>
      </w:r>
      <w:r w:rsidRPr="00B41130">
        <w:rPr>
          <w:rFonts w:ascii="Microsoft Yahei" w:eastAsia="仿宋_GB2312" w:hAnsi="Microsoft Yahei" w:cs="宋体"/>
          <w:color w:val="000000"/>
          <w:kern w:val="0"/>
          <w:szCs w:val="21"/>
        </w:rPr>
        <w:t>     </w:t>
      </w:r>
      <w:r w:rsidRPr="00B41130">
        <w:rPr>
          <w:rFonts w:ascii="Microsoft Yahei" w:eastAsia="仿宋_GB2312" w:hAnsi="Microsoft Yahei" w:cs="宋体"/>
          <w:color w:val="000000"/>
          <w:kern w:val="0"/>
        </w:rPr>
        <w:t> </w:t>
      </w:r>
      <w:r w:rsidRPr="00B41130">
        <w:rPr>
          <w:rFonts w:ascii="仿宋_GB2312" w:eastAsia="仿宋_GB2312" w:hAnsi="Microsoft Yahei" w:cs="宋体" w:hint="eastAsia"/>
          <w:color w:val="000000"/>
          <w:kern w:val="0"/>
          <w:sz w:val="18"/>
          <w:szCs w:val="18"/>
        </w:rPr>
        <w:t>报告日期：</w:t>
      </w:r>
      <w:r w:rsidRPr="00B41130">
        <w:rPr>
          <w:rFonts w:ascii="Microsoft Yahei" w:eastAsia="仿宋_GB2312" w:hAnsi="Microsoft Yahei" w:cs="宋体"/>
          <w:color w:val="000000"/>
          <w:kern w:val="0"/>
          <w:szCs w:val="21"/>
        </w:rPr>
        <w:t>2018</w:t>
      </w:r>
      <w:r w:rsidRPr="00B41130">
        <w:rPr>
          <w:rFonts w:ascii="仿宋_GB2312" w:eastAsia="仿宋_GB2312" w:hAnsi="Microsoft Yahei" w:cs="宋体" w:hint="eastAsia"/>
          <w:color w:val="000000"/>
          <w:kern w:val="0"/>
          <w:sz w:val="18"/>
          <w:szCs w:val="18"/>
        </w:rPr>
        <w:t>年</w:t>
      </w:r>
      <w:r w:rsidR="00365F60">
        <w:rPr>
          <w:rFonts w:ascii="Microsoft Yahei" w:eastAsia="仿宋_GB2312" w:hAnsi="Microsoft Yahei" w:cs="宋体" w:hint="eastAsia"/>
          <w:color w:val="000000"/>
          <w:kern w:val="0"/>
          <w:szCs w:val="21"/>
        </w:rPr>
        <w:t>7</w:t>
      </w:r>
      <w:r w:rsidRPr="00B41130">
        <w:rPr>
          <w:rFonts w:ascii="仿宋_GB2312" w:eastAsia="仿宋_GB2312" w:hAnsi="Microsoft Yahei" w:cs="宋体" w:hint="eastAsia"/>
          <w:color w:val="000000"/>
          <w:kern w:val="0"/>
          <w:sz w:val="18"/>
          <w:szCs w:val="18"/>
        </w:rPr>
        <w:t>月</w:t>
      </w:r>
      <w:r w:rsidR="00365F60">
        <w:rPr>
          <w:rFonts w:ascii="Microsoft Yahei" w:eastAsia="仿宋_GB2312" w:hAnsi="Microsoft Yahei" w:cs="宋体" w:hint="eastAsia"/>
          <w:color w:val="000000"/>
          <w:kern w:val="0"/>
          <w:szCs w:val="21"/>
        </w:rPr>
        <w:t>9</w:t>
      </w:r>
      <w:r w:rsidRPr="00B41130">
        <w:rPr>
          <w:rFonts w:ascii="仿宋_GB2312" w:eastAsia="仿宋_GB2312" w:hAnsi="Microsoft Yahei" w:cs="宋体" w:hint="eastAsia"/>
          <w:color w:val="000000"/>
          <w:kern w:val="0"/>
          <w:sz w:val="18"/>
          <w:szCs w:val="18"/>
        </w:rPr>
        <w:t>日</w:t>
      </w:r>
    </w:p>
    <w:p w:rsidR="00B16918" w:rsidRPr="00B41130" w:rsidRDefault="00B16918"/>
    <w:sectPr w:rsidR="00B16918" w:rsidRPr="00B41130" w:rsidSect="00B411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18" w:rsidRDefault="00B16918" w:rsidP="00B41130">
      <w:r>
        <w:separator/>
      </w:r>
    </w:p>
  </w:endnote>
  <w:endnote w:type="continuationSeparator" w:id="1">
    <w:p w:rsidR="00B16918" w:rsidRDefault="00B16918" w:rsidP="00B4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18" w:rsidRDefault="00B16918" w:rsidP="00B41130">
      <w:r>
        <w:separator/>
      </w:r>
    </w:p>
  </w:footnote>
  <w:footnote w:type="continuationSeparator" w:id="1">
    <w:p w:rsidR="00B16918" w:rsidRDefault="00B16918" w:rsidP="00B41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30"/>
    <w:rsid w:val="00365F60"/>
    <w:rsid w:val="008B099E"/>
    <w:rsid w:val="00B16918"/>
    <w:rsid w:val="00B41130"/>
    <w:rsid w:val="00B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130"/>
    <w:rPr>
      <w:sz w:val="18"/>
      <w:szCs w:val="18"/>
    </w:rPr>
  </w:style>
  <w:style w:type="character" w:customStyle="1" w:styleId="apple-converted-space">
    <w:name w:val="apple-converted-space"/>
    <w:basedOn w:val="a0"/>
    <w:rsid w:val="00B4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37EA-6C80-4FC6-A948-C4160A4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王樱燔</dc:creator>
  <cp:keywords/>
  <dc:description/>
  <cp:lastModifiedBy>王樱燔</cp:lastModifiedBy>
  <cp:revision>4</cp:revision>
  <dcterms:created xsi:type="dcterms:W3CDTF">2018-07-09T07:38:00Z</dcterms:created>
  <dcterms:modified xsi:type="dcterms:W3CDTF">2018-07-09T08:27:00Z</dcterms:modified>
</cp:coreProperties>
</file>